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335"/>
        <w:tblW w:w="14576" w:type="dxa"/>
        <w:tblLook w:val="04A0" w:firstRow="1" w:lastRow="0" w:firstColumn="1" w:lastColumn="0" w:noHBand="0" w:noVBand="1"/>
      </w:tblPr>
      <w:tblGrid>
        <w:gridCol w:w="1536"/>
        <w:gridCol w:w="3724"/>
        <w:gridCol w:w="4056"/>
        <w:gridCol w:w="5260"/>
      </w:tblGrid>
      <w:tr w:rsidR="004F3EB1" w:rsidRPr="00305335" w:rsidTr="002860F4">
        <w:trPr>
          <w:trHeight w:val="31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3EB1" w:rsidRPr="00305335" w:rsidRDefault="003A24AC" w:rsidP="002860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lv-LV"/>
              </w:rPr>
            </w:pPr>
            <w:r w:rsidRPr="00305335">
              <w:rPr>
                <w:rFonts w:eastAsia="Times New Roman" w:cstheme="minorHAnsi"/>
                <w:b/>
                <w:color w:val="000000"/>
                <w:sz w:val="24"/>
                <w:szCs w:val="24"/>
                <w:lang w:eastAsia="lv-LV"/>
              </w:rPr>
              <w:t>202</w:t>
            </w:r>
            <w:r w:rsidR="00B6788E">
              <w:rPr>
                <w:rFonts w:eastAsia="Times New Roman" w:cstheme="minorHAnsi"/>
                <w:b/>
                <w:color w:val="000000"/>
                <w:sz w:val="24"/>
                <w:szCs w:val="24"/>
                <w:lang w:eastAsia="lv-LV"/>
              </w:rPr>
              <w:t>6</w:t>
            </w:r>
            <w:r w:rsidRPr="00305335">
              <w:rPr>
                <w:rFonts w:eastAsia="Times New Roman" w:cstheme="minorHAnsi"/>
                <w:b/>
                <w:color w:val="000000"/>
                <w:sz w:val="24"/>
                <w:szCs w:val="24"/>
                <w:lang w:eastAsia="lv-LV"/>
              </w:rPr>
              <w:t>.gads</w:t>
            </w:r>
            <w:r w:rsidR="004F3EB1" w:rsidRPr="00305335">
              <w:rPr>
                <w:rFonts w:eastAsia="Times New Roman" w:cstheme="minorHAnsi"/>
                <w:b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Upmalas/Vārkavas pagasts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Rožkalnu pagasts</w:t>
            </w:r>
          </w:p>
        </w:tc>
      </w:tr>
      <w:tr w:rsidR="004F3EB1" w:rsidRPr="00305335" w:rsidTr="002860F4">
        <w:trPr>
          <w:trHeight w:val="4045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4F3EB1" w:rsidRPr="00305335" w:rsidRDefault="002F155E" w:rsidP="002860F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305335">
              <w:rPr>
                <w:rFonts w:eastAsia="Times New Roman" w:cstheme="minorHAnsi"/>
                <w:b/>
                <w:i/>
                <w:iCs/>
                <w:color w:val="000000"/>
                <w:sz w:val="24"/>
                <w:szCs w:val="24"/>
                <w:u w:val="single"/>
                <w:lang w:eastAsia="lv-LV"/>
              </w:rPr>
              <w:t>Vārkavas pag.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 - Briškas, </w:t>
            </w:r>
            <w:r w:rsidR="00A43BD4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Bučkas, Šaripauka, Šķiļteri, Desetnīki, Gruzdinauka, 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Ančkini, </w:t>
            </w:r>
            <w:r w:rsidR="009610D8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Aizpūrīši, 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Dovale, Piliškas, Zaķīši, Sitnīki, Stabuļnīki, Gavariškas, Kazieri; </w:t>
            </w:r>
            <w:r w:rsidRPr="00305335">
              <w:rPr>
                <w:rFonts w:eastAsia="Times New Roman" w:cstheme="minorHAnsi"/>
                <w:b/>
                <w:i/>
                <w:iCs/>
                <w:color w:val="000000"/>
                <w:sz w:val="24"/>
                <w:szCs w:val="24"/>
                <w:u w:val="single"/>
                <w:lang w:eastAsia="lv-LV"/>
              </w:rPr>
              <w:t>Upmalas pag.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 - Ārnīši, Kaļvi, Pogas, Berezovka, Broduži, Lauski, Upenieki, Brokovski, Čukuri, Upes Čeirāni, Mežarejas, Lauski, Timenova, </w:t>
            </w:r>
            <w:r w:rsidRPr="00305335">
              <w:rPr>
                <w:rFonts w:eastAsia="Times New Roman" w:cstheme="minorHAnsi"/>
                <w:b/>
                <w:i/>
                <w:iCs/>
                <w:color w:val="000000"/>
                <w:sz w:val="24"/>
                <w:szCs w:val="24"/>
                <w:u w:val="single"/>
                <w:lang w:eastAsia="lv-LV"/>
              </w:rPr>
              <w:t>Vecvārkava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 - Dārzu iela, Padomes iela, Skolas iela, Upes iela, Vītolu iela</w:t>
            </w:r>
            <w:r w:rsidR="00F14252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>, "Saulītes", "Vilcānu mājas", “Ceļmalas”</w:t>
            </w:r>
            <w:r w:rsidR="000E6CC6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>, “Baloži”</w:t>
            </w:r>
          </w:p>
        </w:tc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111D93" w:rsidRPr="00305335" w:rsidRDefault="002F155E" w:rsidP="002860F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lv-LV"/>
              </w:rPr>
              <w:t xml:space="preserve">Vārkavas pag. </w:t>
            </w:r>
            <w:r w:rsidR="00B33A31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>- Zibergova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, </w:t>
            </w:r>
            <w:r w:rsidR="000E6CC6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Stivrenieki, Spūles, 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Ignalina, Onckuļi, Znotiņi, Mazie Klapari, Ksaverinova; </w:t>
            </w:r>
          </w:p>
          <w:p w:rsidR="00111D93" w:rsidRPr="00305335" w:rsidRDefault="00111D93" w:rsidP="002860F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  <w:p w:rsidR="00111D93" w:rsidRPr="00305335" w:rsidRDefault="002F155E" w:rsidP="002860F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lv-LV"/>
              </w:rPr>
              <w:t>Upmalas pag.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 - Vepri, Bratišķi, Kazēri, Zabludnīki, Dzeņi, Lielkursīši, Dambīši, Mazkursīši, Krīvore, Mačāni, Svalbiški, Zosini, Melnā zeme, Divkle, Šķilteri, Pūgaiņi, Kļavinski, Vanagi, Vilcāni, </w:t>
            </w:r>
          </w:p>
          <w:p w:rsidR="00111D93" w:rsidRPr="00305335" w:rsidRDefault="00111D93" w:rsidP="002860F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  <w:p w:rsidR="004F3EB1" w:rsidRPr="00305335" w:rsidRDefault="002F155E" w:rsidP="002860F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lv-LV"/>
              </w:rPr>
              <w:t>Vārkava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 xml:space="preserve"> - Miera iel</w:t>
            </w:r>
            <w:r w:rsidR="00F14252"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>a, Jaunatnes iela, SAC “Vārkava”</w:t>
            </w:r>
            <w:r w:rsidRPr="0030533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lv-LV"/>
              </w:rPr>
              <w:t>,  Bērzu iela, Kovaļevsku iela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</w:pP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 xml:space="preserve">Neicenieki, Augšmukti, Špricvecumi, Jaudzemi, Romānvecumi, Kvedervecumi, "Gutas" Ragaviņas, "Kārkliņi", </w:t>
            </w:r>
            <w:r w:rsidR="000A1E62"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"Robežnieki", “ Šņepstu jaunāres”</w:t>
            </w: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 xml:space="preserve">, </w:t>
            </w:r>
            <w:r w:rsidR="000E6CC6"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 xml:space="preserve">“Smilgas”, ”Staļķi”, “Dāboliņi”, “Lāču druvas”, “Ainas”, “Vasarāji”, “Vītoli”, “Kalnāji”, “Pakalni”, Kalmes”, “Laši”, “Purviņi”, “Baložkalni”, Cepļuki, Pabērzi, Stradišķi, “Rubensaliņas”, “Rudenova”, </w:t>
            </w: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Jadvigova, Strodi, Rimicāni,"Āpšu mā</w:t>
            </w:r>
            <w:r w:rsidR="000A1E62"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ja", “Avotiņi”, “Jaundancīši”, “Birži”, “Ozolnieki”, “Eglāji”, “Liepas”, Vingri, Plociņi, Gadzāni, “Āboli”</w:t>
            </w: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, Dubenca, Ploņi, Lazdān</w:t>
            </w:r>
            <w:r w:rsidR="000A1E62"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i, Andiņi,"Ezerkrasti", “Kalēji”</w:t>
            </w: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, Mizovski, Cimuški, Aptacieši, Arendole, Lielie S</w:t>
            </w:r>
            <w:r w:rsidR="000A1E62"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tradišķi, “Jaunkalni”, “Lapiņas”</w:t>
            </w: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, Sa</w:t>
            </w:r>
            <w:r w:rsidR="000A1E62"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>liņa, “Embūtnes”, “Pilskalni”</w:t>
            </w:r>
            <w:r w:rsidRPr="00305335">
              <w:rPr>
                <w:rFonts w:eastAsia="Times New Roman" w:cstheme="minorHAnsi"/>
                <w:i/>
                <w:iCs/>
                <w:sz w:val="24"/>
                <w:szCs w:val="24"/>
                <w:lang w:eastAsia="lv-LV"/>
              </w:rPr>
              <w:t xml:space="preserve">, Zeļtovka, Dunciški, Salenieki </w:t>
            </w:r>
          </w:p>
        </w:tc>
      </w:tr>
      <w:tr w:rsidR="004F3EB1" w:rsidRPr="00305335" w:rsidTr="002860F4">
        <w:trPr>
          <w:trHeight w:val="924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Izvešanas datumi (</w:t>
            </w:r>
            <w:r w:rsidR="002F155E"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pirmdienās</w:t>
            </w: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Izvešanas datumi (</w:t>
            </w:r>
            <w:r w:rsidR="002F155E"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otrdienās</w:t>
            </w: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F3EB1" w:rsidRPr="00305335" w:rsidRDefault="004F3EB1" w:rsidP="00286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Izvešanas datumi (trešdienās)</w:t>
            </w:r>
          </w:p>
        </w:tc>
      </w:tr>
      <w:tr w:rsidR="004F3EB1" w:rsidRPr="00305335" w:rsidTr="002860F4">
        <w:trPr>
          <w:trHeight w:val="312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3EB1" w:rsidRPr="00305335" w:rsidRDefault="003F2AF2" w:rsidP="002860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Janvāris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B1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B1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B1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sz w:val="28"/>
                <w:szCs w:val="28"/>
                <w:lang w:eastAsia="lv-LV"/>
              </w:rPr>
              <w:t>14</w:t>
            </w:r>
          </w:p>
        </w:tc>
      </w:tr>
      <w:tr w:rsidR="004F3EB1" w:rsidRPr="00305335" w:rsidTr="002860F4">
        <w:trPr>
          <w:trHeight w:val="312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3EB1" w:rsidRPr="00305335" w:rsidRDefault="003F2AF2" w:rsidP="002860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Februāris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B1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B1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B1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sz w:val="28"/>
                <w:szCs w:val="28"/>
                <w:lang w:eastAsia="lv-LV"/>
              </w:rPr>
              <w:t>11</w:t>
            </w:r>
          </w:p>
        </w:tc>
      </w:tr>
      <w:tr w:rsidR="003F2AF2" w:rsidRPr="00305335" w:rsidTr="002860F4">
        <w:trPr>
          <w:trHeight w:val="312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F2AF2" w:rsidRPr="00305335" w:rsidRDefault="003F2AF2" w:rsidP="002860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0533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lv-LV"/>
              </w:rPr>
              <w:t>Marts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F2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F2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F2" w:rsidRPr="00305335" w:rsidRDefault="00B6788E" w:rsidP="002860F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lv-LV"/>
              </w:rPr>
            </w:pPr>
            <w:r>
              <w:rPr>
                <w:rFonts w:eastAsia="Times New Roman" w:cstheme="minorHAnsi"/>
                <w:sz w:val="28"/>
                <w:szCs w:val="28"/>
                <w:lang w:eastAsia="lv-LV"/>
              </w:rPr>
              <w:t>11</w:t>
            </w:r>
          </w:p>
        </w:tc>
      </w:tr>
    </w:tbl>
    <w:p w:rsidR="00B33A31" w:rsidRPr="00305335" w:rsidRDefault="00B33A31" w:rsidP="00B6788E">
      <w:pPr>
        <w:pStyle w:val="ListParagraph"/>
      </w:pPr>
      <w:bookmarkStart w:id="0" w:name="_GoBack"/>
      <w:bookmarkEnd w:id="0"/>
    </w:p>
    <w:sectPr w:rsidR="00B33A31" w:rsidRPr="00305335" w:rsidSect="00DF0853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11" w:rsidRDefault="00CA0F11" w:rsidP="003A24AC">
      <w:pPr>
        <w:spacing w:after="0" w:line="240" w:lineRule="auto"/>
      </w:pPr>
      <w:r>
        <w:separator/>
      </w:r>
    </w:p>
  </w:endnote>
  <w:endnote w:type="continuationSeparator" w:id="0">
    <w:p w:rsidR="00CA0F11" w:rsidRDefault="00CA0F11" w:rsidP="003A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11" w:rsidRDefault="00CA0F11" w:rsidP="003A24AC">
      <w:pPr>
        <w:spacing w:after="0" w:line="240" w:lineRule="auto"/>
      </w:pPr>
      <w:r>
        <w:separator/>
      </w:r>
    </w:p>
  </w:footnote>
  <w:footnote w:type="continuationSeparator" w:id="0">
    <w:p w:rsidR="00CA0F11" w:rsidRDefault="00CA0F11" w:rsidP="003A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40776"/>
    <w:multiLevelType w:val="hybridMultilevel"/>
    <w:tmpl w:val="6D76B7D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B1"/>
    <w:rsid w:val="000A1E62"/>
    <w:rsid w:val="000E6CC6"/>
    <w:rsid w:val="00111D93"/>
    <w:rsid w:val="001F6AB2"/>
    <w:rsid w:val="002860F4"/>
    <w:rsid w:val="002F155E"/>
    <w:rsid w:val="00305335"/>
    <w:rsid w:val="003200BB"/>
    <w:rsid w:val="00354B39"/>
    <w:rsid w:val="0036287B"/>
    <w:rsid w:val="003A24AC"/>
    <w:rsid w:val="003F2AF2"/>
    <w:rsid w:val="004760BB"/>
    <w:rsid w:val="004F3EB1"/>
    <w:rsid w:val="00561813"/>
    <w:rsid w:val="006043A9"/>
    <w:rsid w:val="006D57BE"/>
    <w:rsid w:val="007408BD"/>
    <w:rsid w:val="00745F40"/>
    <w:rsid w:val="00821708"/>
    <w:rsid w:val="008667F7"/>
    <w:rsid w:val="009610D8"/>
    <w:rsid w:val="009A4DC1"/>
    <w:rsid w:val="009A6959"/>
    <w:rsid w:val="00A43BD4"/>
    <w:rsid w:val="00AA7EAE"/>
    <w:rsid w:val="00B33A31"/>
    <w:rsid w:val="00B6788E"/>
    <w:rsid w:val="00C30E03"/>
    <w:rsid w:val="00C427CC"/>
    <w:rsid w:val="00CA0F11"/>
    <w:rsid w:val="00DD6108"/>
    <w:rsid w:val="00DE70EC"/>
    <w:rsid w:val="00DF0853"/>
    <w:rsid w:val="00E232CB"/>
    <w:rsid w:val="00E4380D"/>
    <w:rsid w:val="00F14252"/>
    <w:rsid w:val="00F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A80E6-B85F-4B3B-A080-3748D4AD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4AC"/>
  </w:style>
  <w:style w:type="paragraph" w:styleId="Footer">
    <w:name w:val="footer"/>
    <w:basedOn w:val="Normal"/>
    <w:link w:val="FooterChar"/>
    <w:uiPriority w:val="99"/>
    <w:unhideWhenUsed/>
    <w:rsid w:val="003A2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4AC"/>
  </w:style>
  <w:style w:type="paragraph" w:styleId="BalloonText">
    <w:name w:val="Balloon Text"/>
    <w:basedOn w:val="Normal"/>
    <w:link w:val="BalloonTextChar"/>
    <w:uiPriority w:val="99"/>
    <w:semiHidden/>
    <w:unhideWhenUsed/>
    <w:rsid w:val="00AA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sigita.abolina</dc:creator>
  <cp:lastModifiedBy>Arturs Abolins</cp:lastModifiedBy>
  <cp:revision>4</cp:revision>
  <cp:lastPrinted>2023-12-28T09:27:00Z</cp:lastPrinted>
  <dcterms:created xsi:type="dcterms:W3CDTF">2025-12-22T06:48:00Z</dcterms:created>
  <dcterms:modified xsi:type="dcterms:W3CDTF">2025-12-22T08:39:00Z</dcterms:modified>
</cp:coreProperties>
</file>